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06079E" w:rsidP="0019615E">
            <w:pPr>
              <w:tabs>
                <w:tab w:val="left" w:pos="5070"/>
                <w:tab w:val="left" w:pos="5366"/>
                <w:tab w:val="left" w:pos="6771"/>
                <w:tab w:val="left" w:pos="7363"/>
              </w:tabs>
              <w:jc w:val="both"/>
            </w:pPr>
            <w:r>
              <w:t>P</w:t>
            </w:r>
            <w:r w:rsidR="000F117E">
              <w:t>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A72B1E" w:rsidP="005D5036">
      <w:pPr>
        <w:jc w:val="center"/>
        <w:rPr>
          <w:b/>
          <w:szCs w:val="20"/>
          <w:lang w:eastAsia="lt-LT"/>
        </w:rPr>
      </w:pPr>
      <w:r>
        <w:rPr>
          <w:b/>
          <w:szCs w:val="20"/>
          <w:lang w:eastAsia="lt-LT"/>
        </w:rPr>
        <w:t>KLAIPĖDOS LOPŠELIO-</w:t>
      </w:r>
      <w:r w:rsidR="005D5036" w:rsidRPr="00D23950">
        <w:rPr>
          <w:b/>
          <w:szCs w:val="20"/>
          <w:lang w:eastAsia="lt-LT"/>
        </w:rPr>
        <w:t>DARŽELIO „</w:t>
      </w:r>
      <w:r w:rsidR="005221C1">
        <w:rPr>
          <w:b/>
          <w:szCs w:val="20"/>
          <w:lang w:eastAsia="lt-LT"/>
        </w:rPr>
        <w:t>BITUTĖ</w:t>
      </w:r>
      <w:r w:rsidR="005D5036" w:rsidRPr="00D23950">
        <w:rPr>
          <w:b/>
          <w:szCs w:val="20"/>
          <w:lang w:eastAsia="lt-LT"/>
        </w:rPr>
        <w:t xml:space="preserve">“ </w:t>
      </w:r>
    </w:p>
    <w:p w:rsidR="0006079E" w:rsidRDefault="005D5036" w:rsidP="005D5036">
      <w:pPr>
        <w:jc w:val="center"/>
        <w:rPr>
          <w:b/>
        </w:rPr>
      </w:pPr>
      <w:r>
        <w:rPr>
          <w:b/>
          <w:szCs w:val="20"/>
          <w:lang w:eastAsia="lt-LT"/>
        </w:rPr>
        <w:t>2022</w:t>
      </w:r>
      <w:r w:rsidRPr="00D23950">
        <w:rPr>
          <w:b/>
          <w:szCs w:val="20"/>
          <w:lang w:eastAsia="lt-LT"/>
        </w:rPr>
        <w:t xml:space="preserve"> METŲ VEIKLOS ATASKAITA </w:t>
      </w:r>
    </w:p>
    <w:p w:rsidR="005221C1" w:rsidRPr="00F72A1E" w:rsidRDefault="005221C1" w:rsidP="0006079E">
      <w:pPr>
        <w:jc w:val="center"/>
      </w:pPr>
    </w:p>
    <w:p w:rsidR="00D108FE" w:rsidRDefault="005221C1" w:rsidP="005221C1">
      <w:pPr>
        <w:ind w:firstLine="601"/>
        <w:jc w:val="both"/>
      </w:pPr>
      <w:r w:rsidRPr="005221C1">
        <w:rPr>
          <w:lang w:eastAsia="lt-LT"/>
        </w:rPr>
        <w:t xml:space="preserve">Klaipėdos lopšelis-darželis „Bitutė“ (toliau – Įstaiga) įgyvendina ikimokyklinio ir priešmokyklinio ugdymo programas. Į šias programas integruojamos neformaliojo vaikų švietimo programos (sveikos gyvensenos ugdymo, dailės ugdymo, vaidybos ugdymo) ir tarptautinė ankstyvojo vokiečių kalbos mokymo programa „Vokiečių kalba su kiškiu Hans Hase“. </w:t>
      </w:r>
      <w:r w:rsidRPr="005221C1">
        <w:t>2022-09-01 duomenimis, Įstaigoje ugdyti 183 vaikai, iš jų 152 pagal ikimokyklinio ir 31 pagal priešmokyklinio ugdymo programas. Dirbo 21</w:t>
      </w:r>
      <w:r w:rsidRPr="005221C1">
        <w:rPr>
          <w:color w:val="FF0000"/>
        </w:rPr>
        <w:t xml:space="preserve"> </w:t>
      </w:r>
      <w:r w:rsidRPr="005221C1">
        <w:t>pedagogas</w:t>
      </w:r>
      <w:r w:rsidR="00D108FE">
        <w:t xml:space="preserve"> </w:t>
      </w:r>
      <w:r w:rsidRPr="005221C1">
        <w:t>ir 23 nepedagoginiai darbuotojai</w:t>
      </w:r>
      <w:r w:rsidR="00D108FE">
        <w:t>.</w:t>
      </w:r>
    </w:p>
    <w:p w:rsidR="005221C1" w:rsidRPr="005221C1" w:rsidRDefault="005221C1" w:rsidP="005221C1">
      <w:pPr>
        <w:ind w:firstLine="601"/>
        <w:jc w:val="both"/>
        <w:rPr>
          <w:rFonts w:eastAsia="Calibri"/>
        </w:rPr>
      </w:pPr>
      <w:r w:rsidRPr="005221C1">
        <w:t>2022 metais Įstaiga veikė, vadovaudamasi 2022–2024 m. strateginiu planu (toliau – Strateginis planas) ir 2022 m. veiklos planu (toliau – Veiklos planas). Įstaigos bendruomenė 2022 m. numatė šią prioritetinę veiklos kryptį</w:t>
      </w:r>
      <w:r w:rsidRPr="005221C1">
        <w:rPr>
          <w:rFonts w:eastAsia="Calibri"/>
        </w:rPr>
        <w:t xml:space="preserve"> – savivaldos, socialinės partnerystės ir vadovų lyderystės darna, siekiant ugdymo turinio kokybės. </w:t>
      </w:r>
    </w:p>
    <w:p w:rsidR="005221C1" w:rsidRPr="005221C1" w:rsidRDefault="005221C1" w:rsidP="005221C1">
      <w:pPr>
        <w:ind w:firstLine="597"/>
        <w:jc w:val="both"/>
      </w:pPr>
      <w:r w:rsidRPr="005221C1">
        <w:t xml:space="preserve">Siekiant Strateginio plano pirmojo tikslo – užtikrinti kokybišką ugdymo proceso organizavimą – Įstaigos veikla buvo orientuojama į </w:t>
      </w:r>
      <w:r w:rsidRPr="005221C1">
        <w:rPr>
          <w:lang w:eastAsia="lt-LT"/>
        </w:rPr>
        <w:t xml:space="preserve">ugdymo proceso efektyvinimą, vaikų pažinimo ir saviraiškos poreikių tenkinimą, </w:t>
      </w:r>
      <w:r w:rsidRPr="005221C1">
        <w:rPr>
          <w:color w:val="000000"/>
        </w:rPr>
        <w:t>švietimo pagalbos teikimą,</w:t>
      </w:r>
      <w:r w:rsidRPr="005221C1">
        <w:rPr>
          <w:lang w:eastAsia="lt-LT"/>
        </w:rPr>
        <w:t xml:space="preserve"> darbuotojų kvalifikacijos tobulinimą ir atestacijos vykdymą, b</w:t>
      </w:r>
      <w:r w:rsidRPr="005221C1">
        <w:rPr>
          <w:rFonts w:eastAsia="Calibri"/>
        </w:rPr>
        <w:t>endruomenės pilietinių iniciatyvų skatinimą.</w:t>
      </w:r>
      <w:r w:rsidRPr="005221C1">
        <w:t xml:space="preserve"> Tikslams pasiekti buvo vykdomi trys Veiklos plano uždaviniai:</w:t>
      </w:r>
    </w:p>
    <w:p w:rsidR="005221C1" w:rsidRPr="005221C1" w:rsidRDefault="005221C1" w:rsidP="005221C1">
      <w:pPr>
        <w:ind w:firstLine="597"/>
        <w:jc w:val="both"/>
      </w:pPr>
      <w:r w:rsidRPr="005221C1">
        <w:t xml:space="preserve"> – įgyvendinant pirmąjį uždavinį – </w:t>
      </w:r>
      <w:r w:rsidRPr="005221C1">
        <w:rPr>
          <w:rFonts w:eastAsia="Calibri"/>
        </w:rPr>
        <w:t xml:space="preserve">parengti </w:t>
      </w:r>
      <w:r w:rsidR="002B357A">
        <w:rPr>
          <w:rFonts w:eastAsia="Calibri"/>
        </w:rPr>
        <w:t>Į</w:t>
      </w:r>
      <w:r w:rsidRPr="005221C1">
        <w:rPr>
          <w:rFonts w:eastAsia="Calibri"/>
        </w:rPr>
        <w:t xml:space="preserve">staigos švietimo pagalbos sistemą, užtikrinančią bendruomenės pasiruošimą įtraukiajam ugdymui </w:t>
      </w:r>
      <w:r w:rsidRPr="005221C1">
        <w:t xml:space="preserve">– </w:t>
      </w:r>
      <w:r w:rsidRPr="005221C1">
        <w:rPr>
          <w:lang w:eastAsia="lt-LT"/>
        </w:rPr>
        <w:t xml:space="preserve">buvo sėkmingai įvykdytos priemonės, susijusios su švietimo pagalbos teikimu, Įstaigos aplinkų pritaikymo įtraukiajam ugdymui galimybių vertinimu, bendruomenės kvalifikacijos tobulinimu, Vaiko gerovės komisijos (toliau – VGK) veiklos efektyvinimu, tarpinstitucinio bendradarbiavimo organizavimu. Ruošiantis įtraukiajam ugdymui, atliktas </w:t>
      </w:r>
      <w:r w:rsidR="00446F36">
        <w:rPr>
          <w:lang w:eastAsia="lt-LT"/>
        </w:rPr>
        <w:t>Į</w:t>
      </w:r>
      <w:r w:rsidRPr="005221C1">
        <w:rPr>
          <w:lang w:eastAsia="lt-LT"/>
        </w:rPr>
        <w:t xml:space="preserve">staigos vidinių ir išorinių aplinkų pritaikymo specialiųjų ugdymo(si) poreikių (toliau – SUP) vaikams įsivertinimas. Apibendrinus vertinimo rezultatus, sudarytas priemonių planas pritaikytų aplinkų sukūrimui. 3 grupėse, kuriose ugdomi įvairiapusių raidos sutrikimų turintys vaikai, struktūrizuota ugdymo(si) aplinka, paruoštos alternatyvios komunikacijos priemonės, sukurtos nusiraminimo erdvės. Muzikos salėje, panaudojant šviesos ir spalvų terapijos, interaktyvias, skaitmenines įtraukiojo ugdymo priemones, sukurta multisensorinė aplinka, skirta nusiraminti, sukoncentruoti dėmesį, pažinti įvairius pojūčius. Šių priemonių naudojimas padėjo sumažinti įvairių vaiko raidos sutrikimų riziką bei maksimaliai išnaudoti ugdymo galimybes pagal kiekvieno vaiko gebėjimus. </w:t>
      </w:r>
    </w:p>
    <w:p w:rsidR="005221C1" w:rsidRPr="005221C1" w:rsidRDefault="005221C1" w:rsidP="005221C1">
      <w:pPr>
        <w:ind w:firstLine="597"/>
        <w:jc w:val="both"/>
      </w:pPr>
      <w:r w:rsidRPr="005221C1">
        <w:rPr>
          <w:color w:val="000000"/>
        </w:rPr>
        <w:t>Padaryta pažanga Įstaigos bendruomenės specialiosios pedagogikos kompetencijų tobulinimo srityje: 100 proc. mokytojų dalyvavo 18 valandų mokymuose „Bendradarbiavimas su šeima</w:t>
      </w:r>
      <w:r w:rsidR="002B357A">
        <w:rPr>
          <w:color w:val="000000"/>
        </w:rPr>
        <w:t>,</w:t>
      </w:r>
      <w:r w:rsidRPr="005221C1">
        <w:rPr>
          <w:color w:val="000000"/>
        </w:rPr>
        <w:t xml:space="preserve"> ugdant specialiųjų poreikių turinčius vaikus“, 100 proc. auklėtojo (mokytojo) padėjėjų dalyvavo seminare „Mokytojo padėjėjo vaidmuo – ką reikia daryti ir ko vengti, pagrindiniai vaidmenys ir kaip užtikrinti sėkmingą jų įgyvendinimą“. Išklausyta 40 valandų nuotolinių seminarų įtraukiojo ugdymo temomis virtualioje platformoje Pedagogas.lt.</w:t>
      </w:r>
      <w:r w:rsidRPr="005221C1">
        <w:rPr>
          <w:color w:val="C00000"/>
        </w:rPr>
        <w:t xml:space="preserve"> </w:t>
      </w:r>
    </w:p>
    <w:p w:rsidR="005221C1" w:rsidRDefault="005221C1" w:rsidP="005221C1">
      <w:pPr>
        <w:ind w:firstLine="597"/>
        <w:jc w:val="both"/>
      </w:pPr>
      <w:r w:rsidRPr="005221C1">
        <w:t xml:space="preserve">Įstaigoje parengta </w:t>
      </w:r>
      <w:r w:rsidRPr="005221C1">
        <w:rPr>
          <w:color w:val="000000"/>
        </w:rPr>
        <w:t xml:space="preserve">švietimo pagalbos sistema, apimanti vidinę ir išorinę specialiąją pagalbą. Sistema suderinta Mokytojų taryboje ir pristatyta Įstaigos bendruomenei. </w:t>
      </w:r>
      <w:r w:rsidRPr="005221C1">
        <w:t>Įgyvendinant švietimo pagalbos sistemą,</w:t>
      </w:r>
      <w:r w:rsidRPr="005221C1">
        <w:rPr>
          <w:color w:val="000000"/>
        </w:rPr>
        <w:t xml:space="preserve"> pagerėjo tarpinstitucinis bendradarbiavimas, aktyvesnė tapo komunikacija su Klaipėdos pedagogine psichologine tarnyba (toliau </w:t>
      </w:r>
      <w:r w:rsidRPr="005221C1">
        <w:rPr>
          <w:lang w:eastAsia="lt-LT"/>
        </w:rPr>
        <w:t>– PPT)</w:t>
      </w:r>
      <w:r w:rsidRPr="005221C1">
        <w:rPr>
          <w:color w:val="000000"/>
        </w:rPr>
        <w:t>, Šeimos ir vaiko gerovės centru.</w:t>
      </w:r>
    </w:p>
    <w:p w:rsidR="005221C1" w:rsidRPr="005221C1" w:rsidRDefault="005221C1" w:rsidP="005221C1">
      <w:pPr>
        <w:ind w:firstLine="597"/>
        <w:jc w:val="both"/>
      </w:pPr>
      <w:r w:rsidRPr="005221C1">
        <w:t>2022 metais teikta logopedo</w:t>
      </w:r>
      <w:r w:rsidRPr="005221C1">
        <w:rPr>
          <w:color w:val="000000"/>
        </w:rPr>
        <w:t xml:space="preserve"> pagalba 30 Įstaigos ugdytinių, turintiems kalbos vystymosi raidos, kalbos ir kalbėjimo bei komunikacijos sutrikimų</w:t>
      </w:r>
      <w:r w:rsidR="00E64296">
        <w:rPr>
          <w:color w:val="000000"/>
        </w:rPr>
        <w:t>,</w:t>
      </w:r>
      <w:r w:rsidRPr="005221C1">
        <w:rPr>
          <w:color w:val="000000"/>
        </w:rPr>
        <w:t xml:space="preserve"> ir 3 ugdytiniams, kuriems nustatyti dideli specialieji ugdymo(si) poreikiai. Atsižvelgiant į PPT rekomendacijas, parengtos 5 pritaikytos ikimokyklinio ugdymo ir 2 priešmokyklinio ugdymo programos, sudaryta 30 Individualios pagalbos planų, teiktas individualizuotas ugdymas, skirta mokytojo padėjėjo pagalba</w:t>
      </w:r>
      <w:r w:rsidR="00E64296">
        <w:rPr>
          <w:color w:val="000000"/>
        </w:rPr>
        <w:t xml:space="preserve">. </w:t>
      </w:r>
      <w:r w:rsidRPr="005221C1">
        <w:rPr>
          <w:color w:val="000000"/>
        </w:rPr>
        <w:t xml:space="preserve">Teikta 16 individualių </w:t>
      </w:r>
      <w:r w:rsidRPr="005221C1">
        <w:rPr>
          <w:color w:val="000000"/>
        </w:rPr>
        <w:lastRenderedPageBreak/>
        <w:t>konsultacijų ugdytinių tėvams ir 2 mokytojams. Per metus ištaisyta kalba 7 vaikams, iš dalies – 14 vaikų (2021 m. atitinkamai – 5 ir 12).</w:t>
      </w:r>
    </w:p>
    <w:p w:rsidR="00451ABC" w:rsidRDefault="005221C1" w:rsidP="00451ABC">
      <w:pPr>
        <w:tabs>
          <w:tab w:val="left" w:pos="887"/>
        </w:tabs>
        <w:ind w:firstLine="597"/>
        <w:contextualSpacing/>
        <w:jc w:val="both"/>
        <w:rPr>
          <w:color w:val="000000"/>
        </w:rPr>
      </w:pPr>
      <w:r w:rsidRPr="005221C1">
        <w:rPr>
          <w:color w:val="000000"/>
        </w:rPr>
        <w:t>Pagerėjo VGK veikla: įvyko 11 posėdžių</w:t>
      </w:r>
      <w:r w:rsidR="00E64296">
        <w:rPr>
          <w:color w:val="000000"/>
        </w:rPr>
        <w:t xml:space="preserve">, </w:t>
      </w:r>
      <w:r w:rsidRPr="005221C1">
        <w:rPr>
          <w:color w:val="000000"/>
        </w:rPr>
        <w:t>teikiant specialiąją pedagoginę ir psichologinę informaciją, susitariant dėl švietimo pagalbos teikimo būdų ir formų, organizuoti 5 renginiai Įstaigos bendruomenei (pranešimas, lankstinukų pristatymas, Tolerancijos diena, teminė savaitė „Savaitė be patyčių“, metodinė diena)</w:t>
      </w:r>
      <w:r w:rsidR="00451ABC">
        <w:rPr>
          <w:color w:val="000000"/>
        </w:rPr>
        <w:t>.</w:t>
      </w:r>
      <w:r w:rsidRPr="005221C1">
        <w:rPr>
          <w:color w:val="000000"/>
        </w:rPr>
        <w:t xml:space="preserve"> </w:t>
      </w:r>
      <w:r w:rsidR="00451ABC">
        <w:rPr>
          <w:color w:val="000000"/>
        </w:rPr>
        <w:t>T</w:t>
      </w:r>
      <w:r w:rsidRPr="005221C1">
        <w:rPr>
          <w:color w:val="000000"/>
        </w:rPr>
        <w:t>eikta metodinė pagalba bendruomenei</w:t>
      </w:r>
      <w:r w:rsidR="00E64296">
        <w:rPr>
          <w:color w:val="000000"/>
        </w:rPr>
        <w:t>,</w:t>
      </w:r>
      <w:r w:rsidRPr="005221C1">
        <w:rPr>
          <w:color w:val="000000"/>
        </w:rPr>
        <w:t xml:space="preserve"> integruojant į ugdymo procesą </w:t>
      </w:r>
      <w:r w:rsidRPr="005221C1">
        <w:rPr>
          <w:lang w:eastAsia="lt-LT"/>
        </w:rPr>
        <w:t>socializacijos, prevencines smurto ir patyčių programas ,,Zipio draugai“ ir „Kimochis“</w:t>
      </w:r>
      <w:r w:rsidRPr="005221C1">
        <w:rPr>
          <w:color w:val="000000"/>
        </w:rPr>
        <w:t xml:space="preserve">. Įgyvendinant šias programas </w:t>
      </w:r>
      <w:r w:rsidRPr="005221C1">
        <w:rPr>
          <w:rFonts w:eastAsia="Calibri"/>
        </w:rPr>
        <w:t xml:space="preserve">buvo siekiama, kad </w:t>
      </w:r>
      <w:r w:rsidRPr="005221C1">
        <w:rPr>
          <w:rFonts w:eastAsia="Calibri"/>
          <w:color w:val="000000"/>
        </w:rPr>
        <w:t xml:space="preserve">vaikai išsiugdytų atsparumą neigiamai aplinkos įtakai, gebėtų susivaldyti, taptų jautresni artimųjų emocinei būsenai bei problemoms, gebantys drauge rasti išeitį iš sudėtingų situacijų. </w:t>
      </w:r>
      <w:r w:rsidRPr="005221C1">
        <w:rPr>
          <w:color w:val="000000"/>
        </w:rPr>
        <w:t>100 proc. ugdytinių, dalyvavusių šiose programose, įgijo numatytus pasiekimus ir kompetencijas,</w:t>
      </w:r>
      <w:r w:rsidRPr="005221C1">
        <w:rPr>
          <w:rFonts w:ascii="Calibri" w:eastAsia="Calibri" w:hAnsi="Calibri"/>
          <w:sz w:val="22"/>
        </w:rPr>
        <w:t xml:space="preserve"> </w:t>
      </w:r>
      <w:r w:rsidRPr="005221C1">
        <w:rPr>
          <w:lang w:eastAsia="lt-LT"/>
        </w:rPr>
        <w:t>p</w:t>
      </w:r>
      <w:r w:rsidRPr="005221C1">
        <w:rPr>
          <w:color w:val="000000"/>
        </w:rPr>
        <w:t xml:space="preserve">agerėjo vaikų pasiekimų ir pažangos rezultatai. </w:t>
      </w:r>
    </w:p>
    <w:p w:rsidR="005221C1" w:rsidRPr="00451ABC" w:rsidRDefault="00451ABC" w:rsidP="00451ABC">
      <w:pPr>
        <w:tabs>
          <w:tab w:val="left" w:pos="887"/>
        </w:tabs>
        <w:ind w:firstLine="597"/>
        <w:contextualSpacing/>
        <w:jc w:val="both"/>
        <w:rPr>
          <w:color w:val="000000"/>
        </w:rPr>
      </w:pPr>
      <w:r>
        <w:t xml:space="preserve">– </w:t>
      </w:r>
      <w:r w:rsidR="005221C1" w:rsidRPr="005221C1">
        <w:t>įgyvendinant antrąjį uždavinį – u</w:t>
      </w:r>
      <w:r w:rsidR="005221C1" w:rsidRPr="005221C1">
        <w:rPr>
          <w:rFonts w:eastAsia="Calibri"/>
        </w:rPr>
        <w:t>gdyti pilietiškumą ir tautiškumą per artimiausios aplinkos pažinimą</w:t>
      </w:r>
      <w:r w:rsidR="005221C1" w:rsidRPr="005221C1">
        <w:t xml:space="preserve"> – buvo sėkmingai įvykdytos priemonės, susijusios su dalyvavimu miesto renginiuose, skirtuose Klaipėdos 770-osioms įkūrimo metinėms, inovatyvių metodų, virtualių platformų taikymo ugdymo procese </w:t>
      </w:r>
      <w:r w:rsidR="005221C1" w:rsidRPr="00E64296">
        <w:t xml:space="preserve">organizavimu, projektinės </w:t>
      </w:r>
      <w:r w:rsidR="005221C1" w:rsidRPr="005221C1">
        <w:t xml:space="preserve">veiklos vykdymu, neformaliojo švietimo programų įgyvendinimu. 2022 metais dalyvauta 3 renginiuose mieste kartu su socialiniais partneriais, organizuota 16 edukacinių išvykų. Įgyvendinant Įstaigos renginių organizavimo grupės inicijuotą projektą, skirtą Klaipėdos miesto 770-čiui, įvykdyta 12 priemonių (renginiai, akcijos, viktorinos, kūrybinių darbų parodos, pramogos). </w:t>
      </w:r>
      <w:r w:rsidR="005221C1" w:rsidRPr="005221C1">
        <w:rPr>
          <w:rFonts w:eastAsia="Calibri"/>
        </w:rPr>
        <w:t xml:space="preserve">Įvykę renginiai </w:t>
      </w:r>
      <w:r w:rsidR="00E64296">
        <w:rPr>
          <w:rFonts w:eastAsia="Calibri"/>
        </w:rPr>
        <w:t xml:space="preserve">stiprino </w:t>
      </w:r>
      <w:r w:rsidR="005221C1" w:rsidRPr="005221C1">
        <w:rPr>
          <w:rFonts w:eastAsia="Calibri"/>
        </w:rPr>
        <w:t>vaikų pilietin</w:t>
      </w:r>
      <w:r w:rsidR="00E64296">
        <w:rPr>
          <w:rFonts w:eastAsia="Calibri"/>
        </w:rPr>
        <w:t>es nuostatas</w:t>
      </w:r>
      <w:r w:rsidR="005221C1" w:rsidRPr="005221C1">
        <w:rPr>
          <w:rFonts w:eastAsia="Calibri"/>
        </w:rPr>
        <w:t xml:space="preserve">, </w:t>
      </w:r>
      <w:r w:rsidR="0073525C">
        <w:rPr>
          <w:rFonts w:eastAsia="Calibri"/>
        </w:rPr>
        <w:t xml:space="preserve">nes </w:t>
      </w:r>
      <w:r w:rsidR="005221C1" w:rsidRPr="005221C1">
        <w:rPr>
          <w:rFonts w:eastAsia="Calibri"/>
        </w:rPr>
        <w:t xml:space="preserve">mokytojai sudarė sąlygas vaikams tyrinėjant pastebėti, nusakyti visuomenės ir Lietuvos valstybingumo apraiškas artimiausioje aplinkoje. </w:t>
      </w:r>
    </w:p>
    <w:p w:rsidR="005221C1" w:rsidRDefault="005221C1" w:rsidP="005221C1">
      <w:pPr>
        <w:tabs>
          <w:tab w:val="left" w:pos="887"/>
        </w:tabs>
        <w:ind w:firstLine="597"/>
        <w:contextualSpacing/>
        <w:jc w:val="both"/>
      </w:pPr>
      <w:r w:rsidRPr="005221C1">
        <w:t>Padidėjo mokytojų, taikančių inovatyvius metodus ir informacines komunikacines technologijas (toliau – IKT)</w:t>
      </w:r>
      <w:r w:rsidR="0073525C">
        <w:t>,</w:t>
      </w:r>
      <w:r w:rsidRPr="005221C1">
        <w:t xml:space="preserve"> skaičius, dėl to ugdymo procesas tapo patrauklesnis, labiau įtraukiantis ir motyvuojantis ugdytinius. 100 proc. Įstaigos mokytojų ugdomojoje veikloje taikė STEAM metodiką (2021 m. – 90 proc.). Inicijuotas ir įgyvendintas respublikinis STEAM projektas „Skrenda, važiuoja, plaukia“, kurio tikslas buvo įtraukti ugdytinių tėvus ir pedagogus į aktyvią kūrybinę veiklą</w:t>
      </w:r>
      <w:r w:rsidR="0073525C">
        <w:t>,</w:t>
      </w:r>
      <w:r w:rsidRPr="005221C1">
        <w:t xml:space="preserve"> taikant STEAM metodikos elementus. 90 proc. mokytojų ugdomojoje veikoje taikė IKT</w:t>
      </w:r>
      <w:r w:rsidR="00E64296">
        <w:t xml:space="preserve">, </w:t>
      </w:r>
      <w:r w:rsidRPr="005221C1">
        <w:t>10 proc. netaikė, nes nedalyvavo mokymuose ir neįgijo gebėjimų dirbti su interaktyviais ekranais (mokytojai dirbantys ankstyvojo amžiaus grupėse ir naujai pradėję dirbti).</w:t>
      </w:r>
    </w:p>
    <w:p w:rsidR="0073525C" w:rsidRDefault="005221C1" w:rsidP="0073525C">
      <w:pPr>
        <w:tabs>
          <w:tab w:val="left" w:pos="887"/>
        </w:tabs>
        <w:ind w:firstLine="597"/>
        <w:contextualSpacing/>
        <w:jc w:val="both"/>
      </w:pPr>
      <w:r w:rsidRPr="005221C1">
        <w:t xml:space="preserve">Įstaigoje įgyvendinamos 3 neformaliojo švietimo programos. 2022 metais šios programos atnaujintos ir suderintos su Klaipėdos miesto savivaldybės administracijos Švietimo skyriumi, Įstaigos savivaldos institucijomis. Programos papildytos priešmokyklinio amžiaus vaikams skirtu turiniu, atsižvelgta į atnaujintas kambarėlių erdves ir įsigytas interaktyvias, mobilias priemones. </w:t>
      </w:r>
    </w:p>
    <w:p w:rsidR="005221C1" w:rsidRDefault="0073525C" w:rsidP="0073525C">
      <w:pPr>
        <w:tabs>
          <w:tab w:val="left" w:pos="887"/>
        </w:tabs>
        <w:ind w:firstLine="597"/>
        <w:contextualSpacing/>
        <w:jc w:val="both"/>
      </w:pPr>
      <w:r>
        <w:t xml:space="preserve">– </w:t>
      </w:r>
      <w:r w:rsidR="005221C1" w:rsidRPr="005221C1">
        <w:t xml:space="preserve">įgyvendinant trečiąjį uždavinį – </w:t>
      </w:r>
      <w:r w:rsidR="005221C1" w:rsidRPr="005221C1">
        <w:rPr>
          <w:rFonts w:eastAsia="Calibri"/>
        </w:rPr>
        <w:t xml:space="preserve">stiprinti bendruomeniškumą dalyvaujant tinklaveikoje Įstaigoje ir su išorinėmis institucijomis </w:t>
      </w:r>
      <w:r w:rsidR="005221C1" w:rsidRPr="005221C1">
        <w:rPr>
          <w:lang w:eastAsia="lt-LT"/>
        </w:rPr>
        <w:t xml:space="preserve">– buvo sėkmingai įvykdytos priemonės, susijusios su savivaldos institucijų, kūrybinių grupių veiklos aktyvinimu, tarpinstitucinio bendradarbiavimo organizavimu, šeimos ir Įstaigos partnerystės gerinimu. </w:t>
      </w:r>
    </w:p>
    <w:p w:rsidR="005221C1" w:rsidRPr="005221C1" w:rsidRDefault="005221C1" w:rsidP="005221C1">
      <w:pPr>
        <w:tabs>
          <w:tab w:val="left" w:pos="887"/>
        </w:tabs>
        <w:ind w:firstLine="567"/>
        <w:jc w:val="both"/>
      </w:pPr>
      <w:r w:rsidRPr="005221C1">
        <w:t xml:space="preserve">Savivaldos institucijos įsitraukė į Įstaigos veiklai svarbių sprendimų priėmimą. Su Įstaigos taryba suderinta: </w:t>
      </w:r>
      <w:r w:rsidRPr="005221C1">
        <w:rPr>
          <w:rFonts w:eastAsia="Calibri"/>
          <w:color w:val="000000"/>
        </w:rPr>
        <w:t xml:space="preserve">Mokytojų ir pagalbos mokiniui specialistų (išskyrus psichologus) atestacijos </w:t>
      </w:r>
      <w:r w:rsidRPr="005221C1">
        <w:t>programa, neformaliojo švietimo programos, Įstaigos nuostatai. Taip pat Įstaigos taryba kartu su Darbo taryba dalyvavo svarstant darbuotojų darbo apmokėjimo ir skatinimo sąlygas. Įvyko 4 tėvų tarybos posėdžiai, priimti sprendimai dėl ugdymo sąlygų gerinimo, paramos lėšų panaudojimo, dalyvavimo darbo grupių veikloje.</w:t>
      </w:r>
      <w:r w:rsidRPr="005221C1">
        <w:rPr>
          <w:color w:val="C00000"/>
        </w:rPr>
        <w:t xml:space="preserve"> </w:t>
      </w:r>
      <w:r w:rsidRPr="005221C1">
        <w:t xml:space="preserve">Bendruomenės nariams dalyvaujant savivaldos institucijų, darbo grupių, komandų veikloje ir siekiant bendrų Įstaigos tikslų, buvo veiksmingiau koordinuojama Įstaigos veikla, pagerėjo bendradarbiavimas tarp kolegų, tarp administracijos ir mokytojų. Įstaigos veikla tapo skaidresnė ir atviresnė, pagerėjo informacijos sklaida, veiksmingesnis dokumentų ir duomenų valdymas, pastebėti teigiami Įstaigos kultūros, mikroklimato pokyčiai. </w:t>
      </w:r>
    </w:p>
    <w:p w:rsidR="005221C1" w:rsidRPr="005221C1" w:rsidRDefault="005221C1" w:rsidP="005221C1">
      <w:pPr>
        <w:tabs>
          <w:tab w:val="left" w:pos="887"/>
        </w:tabs>
        <w:ind w:firstLine="597"/>
        <w:contextualSpacing/>
        <w:jc w:val="both"/>
        <w:rPr>
          <w:rFonts w:eastAsia="Calibri"/>
        </w:rPr>
      </w:pPr>
      <w:r w:rsidRPr="005221C1">
        <w:t xml:space="preserve">Įstaigoje veikė 3 ilgalaikės kūrybinės grupės (renginių organizavimo, sveikos gyvensenos, organizacijos įvaizdžio kūrimo) ir sudaryta 1 nauja (mažiausiai varžančių aplinkų kūrimo), kurių veikloje dalyvavo 90 proc. mokytojų. Per metus 100 proc. įvykdytos kūrybinių grupių metiniuose planuose numatytos priemonės: organizuoti 6 tradiciniai Įstaigos renginiai, 4 teminės savaitės, 2 </w:t>
      </w:r>
      <w:r w:rsidRPr="005221C1">
        <w:lastRenderedPageBreak/>
        <w:t xml:space="preserve">sportinės pramogos, įgyvendinti 2 respublikiniai projektai, 5 </w:t>
      </w:r>
      <w:r w:rsidRPr="005221C1">
        <w:rPr>
          <w:lang w:eastAsia="lt-LT"/>
        </w:rPr>
        <w:t xml:space="preserve">eTwinning tarptautiniai </w:t>
      </w:r>
      <w:r w:rsidRPr="005221C1">
        <w:rPr>
          <w:rFonts w:eastAsia="Calibri"/>
        </w:rPr>
        <w:t>projektai, sukurtos Įstaigos vidaus ir lauko šventinės erdvės. Dalyvavimas kūrybinių grupių veikloje sudarė sąlygas mokytojams dalintis patirtimi, tobulinti profesines ir asmenines kompetencijas.</w:t>
      </w:r>
    </w:p>
    <w:p w:rsidR="005221C1" w:rsidRPr="0073525C" w:rsidRDefault="005221C1" w:rsidP="005221C1">
      <w:pPr>
        <w:ind w:firstLine="597"/>
        <w:jc w:val="both"/>
      </w:pPr>
      <w:r w:rsidRPr="005221C1">
        <w:rPr>
          <w:rFonts w:eastAsia="Calibri"/>
        </w:rPr>
        <w:t xml:space="preserve">2022 metais Įstaiga sustiprino ryšius su išorinėmis institucijomis. Bendradarbiauta su 5 </w:t>
      </w:r>
      <w:r w:rsidRPr="005221C1">
        <w:t>šalies, 4 miesto ikimokyklinio ugdymo įstaigomis, miesto bibliotekomis, muziejais, Vaikų laisvalaikio centru, Vitės progimnazija, Klaipėdos universitetu, sveikatos centrais. Įvykdyta 20 bendrų projektų, renginių ir edukacinių veiklų</w:t>
      </w:r>
      <w:r w:rsidR="00E94F54">
        <w:t xml:space="preserve">. </w:t>
      </w:r>
      <w:r w:rsidRPr="005221C1">
        <w:t xml:space="preserve">Susitarta dėl bendradarbiavimo </w:t>
      </w:r>
      <w:r w:rsidRPr="0073525C">
        <w:t>su Klaipėdos valstybine kolegija, pasirašyta sutartis, kurios pagrindinis tikslas – sudaryti sąlygas būsimiems pedagogams atlikti praktiką. 2022 metais Įstaigoje praktiką atliko 3 studentai</w:t>
      </w:r>
      <w:r w:rsidR="00E94F54">
        <w:t>.</w:t>
      </w:r>
    </w:p>
    <w:p w:rsidR="005221C1" w:rsidRPr="005221C1" w:rsidRDefault="005221C1" w:rsidP="005221C1">
      <w:pPr>
        <w:tabs>
          <w:tab w:val="left" w:pos="887"/>
        </w:tabs>
        <w:ind w:firstLine="567"/>
        <w:contextualSpacing/>
        <w:jc w:val="both"/>
      </w:pPr>
      <w:r w:rsidRPr="005221C1">
        <w:rPr>
          <w:rFonts w:eastAsia="Calibri"/>
        </w:rPr>
        <w:t>Per metus organizuoti bendri renginiai su šeima: 6 tradicinės Įstaigos šventės</w:t>
      </w:r>
      <w:r w:rsidR="00E94F54">
        <w:rPr>
          <w:rFonts w:eastAsia="Calibri"/>
        </w:rPr>
        <w:t xml:space="preserve">, </w:t>
      </w:r>
      <w:r w:rsidRPr="005221C1">
        <w:t>4 kūrybinių darbų parodos</w:t>
      </w:r>
      <w:r w:rsidR="00E94F54">
        <w:t xml:space="preserve">, </w:t>
      </w:r>
      <w:r w:rsidRPr="005221C1">
        <w:t>sportinė pramoga, 6 akcijos</w:t>
      </w:r>
      <w:r w:rsidR="00E94F54">
        <w:t xml:space="preserve">, </w:t>
      </w:r>
      <w:r w:rsidRPr="005221C1">
        <w:t>6 išvykos</w:t>
      </w:r>
      <w:r w:rsidR="00E94F54">
        <w:t xml:space="preserve">. </w:t>
      </w:r>
      <w:r w:rsidRPr="005221C1">
        <w:rPr>
          <w:rFonts w:eastAsia="Calibri"/>
        </w:rPr>
        <w:t xml:space="preserve">Pagerėjo komunikaciniai ryšiai su ugdytinių tėvais. </w:t>
      </w:r>
      <w:r w:rsidRPr="005221C1">
        <w:rPr>
          <w:lang w:eastAsia="lt-LT"/>
        </w:rPr>
        <w:t xml:space="preserve">100 proc. ugdytinių tėvų </w:t>
      </w:r>
      <w:r w:rsidR="00E94F54">
        <w:rPr>
          <w:lang w:eastAsia="lt-LT"/>
        </w:rPr>
        <w:t xml:space="preserve">gali naudotis </w:t>
      </w:r>
      <w:r w:rsidRPr="005221C1">
        <w:rPr>
          <w:lang w:eastAsia="lt-LT"/>
        </w:rPr>
        <w:t>informacin</w:t>
      </w:r>
      <w:r w:rsidR="00E94F54">
        <w:rPr>
          <w:lang w:eastAsia="lt-LT"/>
        </w:rPr>
        <w:t>e</w:t>
      </w:r>
      <w:r w:rsidRPr="005221C1">
        <w:rPr>
          <w:lang w:eastAsia="lt-LT"/>
        </w:rPr>
        <w:t xml:space="preserve"> sistem</w:t>
      </w:r>
      <w:r w:rsidR="00E94F54">
        <w:rPr>
          <w:lang w:eastAsia="lt-LT"/>
        </w:rPr>
        <w:t>a</w:t>
      </w:r>
      <w:r w:rsidRPr="005221C1">
        <w:rPr>
          <w:lang w:eastAsia="lt-LT"/>
        </w:rPr>
        <w:t xml:space="preserve"> „Mūsų darželis“, iš jų aktyviai naudojasi 50 proc. Ši paslauga palengvino ugdytojų bendradarbiavimo, informacijos perteikimo procesus ugdymo planavimo, pasiekimų vertinimo, veiklų organizavimo klausimai</w:t>
      </w:r>
      <w:r w:rsidRPr="00E94F54">
        <w:rPr>
          <w:lang w:eastAsia="lt-LT"/>
        </w:rPr>
        <w:t>s.</w:t>
      </w:r>
      <w:r w:rsidRPr="00E94F54">
        <w:t xml:space="preserve"> Įdiegtos naujos elektroninio dienyno funkcijos padidino mokytojų galimybes planuoti, vertinti </w:t>
      </w:r>
      <w:r w:rsidRPr="005221C1">
        <w:t>ugdytinių pasiekimus, reflektuoti veiklą elektroninėje erdvėje.</w:t>
      </w:r>
    </w:p>
    <w:p w:rsidR="005221C1" w:rsidRPr="005221C1" w:rsidRDefault="005221C1" w:rsidP="005221C1">
      <w:pPr>
        <w:tabs>
          <w:tab w:val="left" w:pos="887"/>
        </w:tabs>
        <w:ind w:firstLine="567"/>
        <w:contextualSpacing/>
        <w:jc w:val="both"/>
      </w:pPr>
      <w:r w:rsidRPr="005221C1">
        <w:t>Siekiant Strateginio plano antrojo tikslo – užtikrinti sveiką, saugią šiuolaikinius ugdymo(si) reikalavimus atliepiančią aplinką – Įstaigos veikla buvo orientuojama į edukacinių aplinkų kūrimą, patalpų būklės atnaujinimą, šiuolaikinių ugdymo(si) priemonių įsigijimą, m</w:t>
      </w:r>
      <w:r w:rsidRPr="005221C1">
        <w:rPr>
          <w:rFonts w:eastAsia="Calibri"/>
        </w:rPr>
        <w:t>ažiausiai varžančių ir palankių erdvių kūrimą skirtingų poreikių vaikams</w:t>
      </w:r>
      <w:r w:rsidRPr="005221C1">
        <w:t xml:space="preserve">. Tikslui pasiekti Veiklos plano uždavinys – </w:t>
      </w:r>
      <w:r w:rsidRPr="005221C1">
        <w:rPr>
          <w:rFonts w:eastAsia="Calibri"/>
        </w:rPr>
        <w:t xml:space="preserve">kurti funkcionalią, dinamišką ir saugią, skirtingus vaikų ugdymosi </w:t>
      </w:r>
      <w:r w:rsidRPr="00E94F54">
        <w:rPr>
          <w:rFonts w:eastAsia="Calibri"/>
        </w:rPr>
        <w:t>poreikius atitinkančią aplinką</w:t>
      </w:r>
      <w:r w:rsidRPr="00E94F54">
        <w:t xml:space="preserve"> – buvo įgyvendinamas </w:t>
      </w:r>
      <w:r w:rsidRPr="00E94F54">
        <w:rPr>
          <w:lang w:eastAsia="lt-LT"/>
        </w:rPr>
        <w:t xml:space="preserve">tikslingai įsisavinant valstybės, savivaldybės, tėvų įmokų už paslaugas ir paramos lėšas pagal </w:t>
      </w:r>
      <w:r w:rsidRPr="00E94F54">
        <w:rPr>
          <w:rFonts w:eastAsia="Calibri"/>
        </w:rPr>
        <w:t xml:space="preserve">vykdomas programas ir ekonominės klasifikacijos straipsnius. Reikšmingas Įstaigos veiklos pokytis – atidaryta antra priešmokyklinio amžiaus grupė, dėl to 2022–2023 mokslo metams sukomplektuota po dvi vienodo amžiaus vaikų grupes. Rekonstravus ankstyvojo amžiaus grupę, sudarytos ugdymosi ir higienos normų reikalavimus atitinkančios sąlygos </w:t>
      </w:r>
      <w:r w:rsidRPr="005221C1">
        <w:rPr>
          <w:rFonts w:eastAsia="Calibri"/>
        </w:rPr>
        <w:t xml:space="preserve">ikimokyklinio amžiaus vaikams, dėl to 100 procentų patenkintas šešiamečių ir trimečių vaikų poreikis lankyti Įstaigą. Grupės atnaujinimui įsigyta vaikiškų baldų (1,7 </w:t>
      </w:r>
      <w:r w:rsidRPr="005221C1">
        <w:rPr>
          <w:color w:val="000000"/>
        </w:rPr>
        <w:t>tūkst. eurų</w:t>
      </w:r>
      <w:r w:rsidRPr="005221C1">
        <w:rPr>
          <w:rFonts w:eastAsia="Calibri"/>
        </w:rPr>
        <w:t>), minkšto inventoriaus (1,0</w:t>
      </w:r>
      <w:r w:rsidRPr="005221C1">
        <w:rPr>
          <w:color w:val="000000"/>
        </w:rPr>
        <w:t xml:space="preserve"> tūkst. eurų), edukacinių priemonių (1,5 tūkst. eurų), atnaujintas apšvietimas (0,2 tūkst. eurų), įrengtos pertvaros sanitarinėse patalpose (0,7 tūkst. eurų). </w:t>
      </w:r>
      <w:r w:rsidRPr="005221C1">
        <w:rPr>
          <w:rFonts w:eastAsia="Calibri"/>
        </w:rPr>
        <w:t xml:space="preserve">Nuo 2022 metų rugsėjo pradėjo veikti nauja muzikos salė. </w:t>
      </w:r>
      <w:r w:rsidRPr="005221C1">
        <w:t>Šių patalpų įkūrimui atliktas kapitalinis remontas buvusios virtuvės patalpose, įsigytos įvairios muzikinio ugdymo priemonės už 4,0 tūkst. eurų.</w:t>
      </w:r>
      <w:r w:rsidRPr="005221C1">
        <w:rPr>
          <w:i/>
        </w:rPr>
        <w:t xml:space="preserve"> </w:t>
      </w:r>
      <w:r w:rsidRPr="005221C1">
        <w:t>Muzikos salėje įrengtas sensorinis kampelis SUP vaikų ugdymui(si), įsigytos šviesos ir spalvų terapijos priemonės už 0,5</w:t>
      </w:r>
      <w:r w:rsidRPr="005221C1">
        <w:rPr>
          <w:color w:val="000000"/>
        </w:rPr>
        <w:t xml:space="preserve"> tūkst. eurų.</w:t>
      </w:r>
      <w:r w:rsidRPr="005221C1">
        <w:rPr>
          <w:color w:val="C00000"/>
        </w:rPr>
        <w:t xml:space="preserve"> </w:t>
      </w:r>
      <w:r w:rsidRPr="005221C1">
        <w:t xml:space="preserve">Darbuotojų darbo sąlygų gerinimui įsigytos 2 indaplovės už 1,0 </w:t>
      </w:r>
      <w:r w:rsidRPr="005221C1">
        <w:rPr>
          <w:color w:val="000000"/>
        </w:rPr>
        <w:t xml:space="preserve">tūkst. eurų. IKT taikymui, dokumentų ir duomenų valdymo sistemų diegimui įsigyti 3 nešiojami kompiuteriai (2,0 tūkst. eurų), multifunkcinis spausdintuvas (0,9 tūkst. eurų). </w:t>
      </w:r>
      <w:r w:rsidRPr="005221C1">
        <w:rPr>
          <w:rFonts w:eastAsia="Calibri"/>
        </w:rPr>
        <w:t xml:space="preserve">Siekiant užtikrinti saugias ugdymosi ir darbo aplinkas, įsigytas oro kondicionierius už 1,0 </w:t>
      </w:r>
      <w:r w:rsidRPr="005221C1">
        <w:rPr>
          <w:color w:val="000000"/>
        </w:rPr>
        <w:t xml:space="preserve">tūkst. eurų. </w:t>
      </w:r>
    </w:p>
    <w:p w:rsidR="005221C1" w:rsidRPr="005221C1" w:rsidRDefault="005221C1" w:rsidP="005221C1">
      <w:pPr>
        <w:spacing w:line="259" w:lineRule="auto"/>
        <w:ind w:firstLine="601"/>
        <w:jc w:val="both"/>
      </w:pPr>
      <w:r w:rsidRPr="005221C1">
        <w:t>2022 m. Įstaigos finansinė situacija buvo tokia:</w:t>
      </w:r>
    </w:p>
    <w:tbl>
      <w:tblPr>
        <w:tblStyle w:val="Lentelstinklelis"/>
        <w:tblW w:w="0" w:type="auto"/>
        <w:tblInd w:w="108" w:type="dxa"/>
        <w:tblLook w:val="04A0" w:firstRow="1" w:lastRow="0" w:firstColumn="1" w:lastColumn="0" w:noHBand="0" w:noVBand="1"/>
      </w:tblPr>
      <w:tblGrid>
        <w:gridCol w:w="3261"/>
        <w:gridCol w:w="1470"/>
        <w:gridCol w:w="1216"/>
        <w:gridCol w:w="10"/>
        <w:gridCol w:w="1414"/>
        <w:gridCol w:w="2268"/>
      </w:tblGrid>
      <w:tr w:rsidR="005221C1" w:rsidRPr="005221C1" w:rsidTr="005221C1">
        <w:tc>
          <w:tcPr>
            <w:tcW w:w="3261" w:type="dxa"/>
            <w:vMerge w:val="restart"/>
            <w:tcBorders>
              <w:top w:val="single" w:sz="4" w:space="0" w:color="auto"/>
              <w:left w:val="single" w:sz="4" w:space="0" w:color="auto"/>
              <w:bottom w:val="single" w:sz="4" w:space="0" w:color="auto"/>
              <w:right w:val="single" w:sz="4" w:space="0" w:color="auto"/>
            </w:tcBorders>
            <w:hideMark/>
          </w:tcPr>
          <w:p w:rsidR="005221C1" w:rsidRPr="005221C1" w:rsidRDefault="005221C1" w:rsidP="005221C1">
            <w:pPr>
              <w:jc w:val="center"/>
            </w:pPr>
            <w:r w:rsidRPr="005221C1">
              <w:t>Finansavimo šaltinis</w:t>
            </w:r>
          </w:p>
        </w:tc>
        <w:tc>
          <w:tcPr>
            <w:tcW w:w="4110" w:type="dxa"/>
            <w:gridSpan w:val="4"/>
            <w:tcBorders>
              <w:top w:val="single" w:sz="4" w:space="0" w:color="auto"/>
              <w:left w:val="single" w:sz="4" w:space="0" w:color="auto"/>
              <w:bottom w:val="single" w:sz="4" w:space="0" w:color="auto"/>
              <w:right w:val="single" w:sz="4" w:space="0" w:color="auto"/>
            </w:tcBorders>
            <w:hideMark/>
          </w:tcPr>
          <w:p w:rsidR="005221C1" w:rsidRPr="005221C1" w:rsidRDefault="005221C1" w:rsidP="005221C1">
            <w:pPr>
              <w:jc w:val="center"/>
            </w:pPr>
            <w:r w:rsidRPr="005221C1">
              <w:t>Lėšos (tūkst. eurų)</w:t>
            </w:r>
          </w:p>
        </w:tc>
        <w:tc>
          <w:tcPr>
            <w:tcW w:w="2268" w:type="dxa"/>
            <w:vMerge w:val="restart"/>
            <w:tcBorders>
              <w:top w:val="single" w:sz="4" w:space="0" w:color="auto"/>
              <w:left w:val="single" w:sz="4" w:space="0" w:color="auto"/>
              <w:bottom w:val="single" w:sz="4" w:space="0" w:color="auto"/>
              <w:right w:val="single" w:sz="4" w:space="0" w:color="auto"/>
            </w:tcBorders>
          </w:tcPr>
          <w:p w:rsidR="005221C1" w:rsidRPr="005221C1" w:rsidRDefault="005221C1" w:rsidP="005221C1">
            <w:pPr>
              <w:jc w:val="both"/>
            </w:pPr>
            <w:r w:rsidRPr="005221C1">
              <w:t>Pastabos</w:t>
            </w:r>
          </w:p>
          <w:p w:rsidR="005221C1" w:rsidRPr="005221C1" w:rsidRDefault="005221C1" w:rsidP="005221C1">
            <w:pPr>
              <w:jc w:val="center"/>
            </w:pPr>
          </w:p>
        </w:tc>
      </w:tr>
      <w:tr w:rsidR="005221C1" w:rsidRPr="005221C1" w:rsidTr="005221C1">
        <w:tc>
          <w:tcPr>
            <w:tcW w:w="3261" w:type="dxa"/>
            <w:vMerge/>
            <w:tcBorders>
              <w:top w:val="single" w:sz="4" w:space="0" w:color="auto"/>
              <w:left w:val="single" w:sz="4" w:space="0" w:color="auto"/>
              <w:bottom w:val="single" w:sz="4" w:space="0" w:color="auto"/>
              <w:right w:val="single" w:sz="4" w:space="0" w:color="auto"/>
            </w:tcBorders>
            <w:vAlign w:val="center"/>
            <w:hideMark/>
          </w:tcPr>
          <w:p w:rsidR="005221C1" w:rsidRPr="005221C1" w:rsidRDefault="005221C1" w:rsidP="005221C1"/>
        </w:tc>
        <w:tc>
          <w:tcPr>
            <w:tcW w:w="1470"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Panaudota lėšų</w:t>
            </w:r>
          </w:p>
        </w:tc>
        <w:tc>
          <w:tcPr>
            <w:tcW w:w="1424" w:type="dxa"/>
            <w:gridSpan w:val="2"/>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Įvykdymas (%)</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221C1" w:rsidRPr="005221C1" w:rsidRDefault="005221C1" w:rsidP="005221C1"/>
        </w:tc>
      </w:tr>
      <w:tr w:rsidR="005221C1" w:rsidRPr="005221C1" w:rsidTr="005221C1">
        <w:trPr>
          <w:trHeight w:val="219"/>
        </w:trPr>
        <w:tc>
          <w:tcPr>
            <w:tcW w:w="3261"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Savivaldybės biudžetas (SB)</w:t>
            </w:r>
          </w:p>
        </w:tc>
        <w:tc>
          <w:tcPr>
            <w:tcW w:w="1470"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470,8</w:t>
            </w:r>
          </w:p>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470,58</w:t>
            </w:r>
          </w:p>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99,95</w:t>
            </w:r>
          </w:p>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r>
      <w:tr w:rsidR="005221C1" w:rsidRPr="005221C1" w:rsidTr="005221C1">
        <w:tc>
          <w:tcPr>
            <w:tcW w:w="3261"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Mokinių iš mažas pajamas gaunančių šeimų nemokamo maitinimo gamybos išlaidų padengimas (SB)</w:t>
            </w:r>
          </w:p>
        </w:tc>
        <w:tc>
          <w:tcPr>
            <w:tcW w:w="1470"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1,5</w:t>
            </w:r>
          </w:p>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1,5</w:t>
            </w:r>
          </w:p>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100</w:t>
            </w:r>
          </w:p>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r>
      <w:tr w:rsidR="005221C1" w:rsidRPr="005221C1" w:rsidTr="005221C1">
        <w:trPr>
          <w:trHeight w:val="177"/>
        </w:trPr>
        <w:tc>
          <w:tcPr>
            <w:tcW w:w="3261"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5221C1" w:rsidRPr="005221C1" w:rsidRDefault="005221C1" w:rsidP="005221C1">
            <w:pPr>
              <w:rPr>
                <w:lang w:val="en-US"/>
              </w:rPr>
            </w:pPr>
            <w:r w:rsidRPr="005221C1">
              <w:t>304,</w:t>
            </w:r>
            <w:r w:rsidRPr="005221C1">
              <w:rPr>
                <w:lang w:val="en-US"/>
              </w:rPr>
              <w:t>0</w:t>
            </w:r>
          </w:p>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304,0</w:t>
            </w:r>
          </w:p>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100</w:t>
            </w:r>
          </w:p>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r>
      <w:tr w:rsidR="005221C1" w:rsidRPr="005221C1" w:rsidTr="005221C1">
        <w:tc>
          <w:tcPr>
            <w:tcW w:w="3261"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Socialinė parama mokiniams (VB)</w:t>
            </w:r>
          </w:p>
        </w:tc>
        <w:tc>
          <w:tcPr>
            <w:tcW w:w="1470" w:type="dxa"/>
            <w:tcBorders>
              <w:top w:val="single" w:sz="4" w:space="0" w:color="auto"/>
              <w:left w:val="single" w:sz="4" w:space="0" w:color="auto"/>
              <w:bottom w:val="single" w:sz="4" w:space="0" w:color="auto"/>
              <w:right w:val="single" w:sz="4" w:space="0" w:color="auto"/>
            </w:tcBorders>
          </w:tcPr>
          <w:p w:rsidR="005221C1" w:rsidRPr="005221C1" w:rsidRDefault="005221C1" w:rsidP="005221C1">
            <w:pPr>
              <w:rPr>
                <w:lang w:val="en-US"/>
              </w:rPr>
            </w:pPr>
            <w:r w:rsidRPr="005221C1">
              <w:rPr>
                <w:lang w:val="en-US"/>
              </w:rPr>
              <w:t>6,0</w:t>
            </w:r>
          </w:p>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6,0</w:t>
            </w:r>
          </w:p>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100</w:t>
            </w:r>
          </w:p>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r>
      <w:tr w:rsidR="005221C1" w:rsidRPr="005221C1" w:rsidTr="005221C1">
        <w:tc>
          <w:tcPr>
            <w:tcW w:w="3261"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 xml:space="preserve">Dotacija vaikų, atvykusių dėl karinių veiksmų Ukrainoje, </w:t>
            </w:r>
            <w:r w:rsidRPr="005221C1">
              <w:lastRenderedPageBreak/>
              <w:t>ugdymui ir pavėžėjimui (VB)</w:t>
            </w:r>
          </w:p>
        </w:tc>
        <w:tc>
          <w:tcPr>
            <w:tcW w:w="1470"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lastRenderedPageBreak/>
              <w:t>0,375</w:t>
            </w:r>
          </w:p>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0,375</w:t>
            </w:r>
          </w:p>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100</w:t>
            </w:r>
          </w:p>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r>
      <w:tr w:rsidR="005221C1" w:rsidRPr="005221C1" w:rsidTr="005221C1">
        <w:tc>
          <w:tcPr>
            <w:tcW w:w="3261"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r>
      <w:tr w:rsidR="005221C1" w:rsidRPr="005221C1" w:rsidTr="005221C1">
        <w:trPr>
          <w:trHeight w:val="265"/>
        </w:trPr>
        <w:tc>
          <w:tcPr>
            <w:tcW w:w="3261"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99,8</w:t>
            </w:r>
          </w:p>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90,65</w:t>
            </w:r>
          </w:p>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90,83</w:t>
            </w:r>
          </w:p>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Dėl mažesnio vaikų lankomumo panaudota mažiau mitybai skirtų lėšų</w:t>
            </w:r>
          </w:p>
        </w:tc>
      </w:tr>
      <w:tr w:rsidR="005221C1" w:rsidRPr="005221C1" w:rsidTr="005221C1">
        <w:trPr>
          <w:trHeight w:val="125"/>
        </w:trPr>
        <w:tc>
          <w:tcPr>
            <w:tcW w:w="3261"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r>
      <w:tr w:rsidR="005221C1" w:rsidRPr="005221C1" w:rsidTr="005221C1">
        <w:tc>
          <w:tcPr>
            <w:tcW w:w="3261"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Kitos lėšos (parama 1,2 % GPM ir kt.)</w:t>
            </w:r>
          </w:p>
        </w:tc>
        <w:tc>
          <w:tcPr>
            <w:tcW w:w="1470"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1,3</w:t>
            </w:r>
          </w:p>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1,3</w:t>
            </w:r>
          </w:p>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100</w:t>
            </w:r>
          </w:p>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r>
      <w:tr w:rsidR="005221C1" w:rsidRPr="005221C1" w:rsidTr="005221C1">
        <w:trPr>
          <w:trHeight w:val="369"/>
        </w:trPr>
        <w:tc>
          <w:tcPr>
            <w:tcW w:w="3261" w:type="dxa"/>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Iš viso</w:t>
            </w:r>
          </w:p>
        </w:tc>
        <w:tc>
          <w:tcPr>
            <w:tcW w:w="1470"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883,88</w:t>
            </w:r>
          </w:p>
        </w:tc>
        <w:tc>
          <w:tcPr>
            <w:tcW w:w="1216" w:type="dxa"/>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874,41</w:t>
            </w:r>
          </w:p>
        </w:tc>
        <w:tc>
          <w:tcPr>
            <w:tcW w:w="1424"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5221C1">
            <w:r w:rsidRPr="005221C1">
              <w:t>98,93</w:t>
            </w:r>
          </w:p>
        </w:tc>
        <w:tc>
          <w:tcPr>
            <w:tcW w:w="2268" w:type="dxa"/>
            <w:tcBorders>
              <w:top w:val="single" w:sz="4" w:space="0" w:color="auto"/>
              <w:left w:val="single" w:sz="4" w:space="0" w:color="auto"/>
              <w:bottom w:val="single" w:sz="4" w:space="0" w:color="auto"/>
              <w:right w:val="single" w:sz="4" w:space="0" w:color="auto"/>
            </w:tcBorders>
          </w:tcPr>
          <w:p w:rsidR="005221C1" w:rsidRPr="005221C1" w:rsidRDefault="005221C1" w:rsidP="005221C1"/>
        </w:tc>
      </w:tr>
      <w:tr w:rsidR="005221C1" w:rsidRPr="005221C1" w:rsidTr="005221C1">
        <w:tc>
          <w:tcPr>
            <w:tcW w:w="5957" w:type="dxa"/>
            <w:gridSpan w:val="4"/>
            <w:tcBorders>
              <w:top w:val="single" w:sz="4" w:space="0" w:color="auto"/>
              <w:left w:val="single" w:sz="4" w:space="0" w:color="auto"/>
              <w:bottom w:val="single" w:sz="4" w:space="0" w:color="auto"/>
              <w:right w:val="single" w:sz="4" w:space="0" w:color="auto"/>
            </w:tcBorders>
            <w:hideMark/>
          </w:tcPr>
          <w:p w:rsidR="005221C1" w:rsidRPr="005221C1" w:rsidRDefault="005221C1" w:rsidP="005221C1">
            <w:r w:rsidRPr="005221C1">
              <w:t xml:space="preserve">Kreditinis įsiskolinimas (pagal visus finansavimo šaltinius) </w:t>
            </w:r>
            <w:r w:rsidR="006821E8" w:rsidRPr="006821E8">
              <w:t>2023</w:t>
            </w:r>
            <w:r w:rsidRPr="006821E8">
              <w:t xml:space="preserve"> m. sausio 1 d.</w:t>
            </w:r>
            <w:r w:rsidRPr="005221C1">
              <w:t xml:space="preserve"> </w:t>
            </w:r>
          </w:p>
        </w:tc>
        <w:tc>
          <w:tcPr>
            <w:tcW w:w="3682" w:type="dxa"/>
            <w:gridSpan w:val="2"/>
            <w:tcBorders>
              <w:top w:val="single" w:sz="4" w:space="0" w:color="auto"/>
              <w:left w:val="single" w:sz="4" w:space="0" w:color="auto"/>
              <w:bottom w:val="single" w:sz="4" w:space="0" w:color="auto"/>
              <w:right w:val="single" w:sz="4" w:space="0" w:color="auto"/>
            </w:tcBorders>
          </w:tcPr>
          <w:p w:rsidR="005221C1" w:rsidRPr="005221C1" w:rsidRDefault="005221C1" w:rsidP="00B73523">
            <w:r w:rsidRPr="005221C1">
              <w:t xml:space="preserve">Mityba – 0,4 </w:t>
            </w:r>
            <w:r w:rsidR="00B73523">
              <w:t xml:space="preserve">tūkst. </w:t>
            </w:r>
            <w:r w:rsidRPr="005221C1">
              <w:t>Eur</w:t>
            </w:r>
            <w:r w:rsidR="00B73523">
              <w:t xml:space="preserve">. </w:t>
            </w:r>
            <w:r w:rsidRPr="005221C1">
              <w:t xml:space="preserve">Faktiškai sunaudota daugiau lėšų negu buvo skirta socialiai remtinų vaikų maitinimo paslaugų kompensavimui. </w:t>
            </w:r>
          </w:p>
          <w:p w:rsidR="001F7AF9" w:rsidRDefault="005221C1" w:rsidP="005221C1">
            <w:r w:rsidRPr="005221C1">
              <w:t xml:space="preserve">Mityba – 0,49 </w:t>
            </w:r>
            <w:r w:rsidR="00B73523">
              <w:t xml:space="preserve">tūkst. </w:t>
            </w:r>
            <w:r w:rsidRPr="005221C1">
              <w:t>Eur (Įmokos už paslaugas)</w:t>
            </w:r>
            <w:r w:rsidR="00446F36">
              <w:t>.</w:t>
            </w:r>
            <w:r w:rsidRPr="005221C1">
              <w:t xml:space="preserve"> </w:t>
            </w:r>
            <w:r w:rsidR="00446F36">
              <w:t>N</w:t>
            </w:r>
            <w:r w:rsidRPr="005221C1">
              <w:t xml:space="preserve">eapmokėtos maisto sąskaitos </w:t>
            </w:r>
            <w:r w:rsidR="00446F36">
              <w:t xml:space="preserve">už </w:t>
            </w:r>
            <w:r w:rsidRPr="005221C1">
              <w:t xml:space="preserve">2022 m. gruodžio </w:t>
            </w:r>
          </w:p>
          <w:p w:rsidR="005221C1" w:rsidRPr="005221C1" w:rsidRDefault="005221C1" w:rsidP="005221C1">
            <w:r w:rsidRPr="005221C1">
              <w:t>28</w:t>
            </w:r>
            <w:r w:rsidR="00446F36">
              <w:t>–</w:t>
            </w:r>
            <w:r w:rsidRPr="005221C1">
              <w:t xml:space="preserve">31 d. </w:t>
            </w:r>
          </w:p>
        </w:tc>
      </w:tr>
    </w:tbl>
    <w:p w:rsidR="005221C1" w:rsidRPr="005221C1" w:rsidRDefault="005221C1" w:rsidP="005221C1">
      <w:pPr>
        <w:ind w:firstLine="567"/>
        <w:jc w:val="both"/>
        <w:rPr>
          <w:bCs/>
        </w:rPr>
      </w:pPr>
      <w:r w:rsidRPr="005221C1">
        <w:rPr>
          <w:szCs w:val="20"/>
        </w:rPr>
        <w:t xml:space="preserve">2022 m. Įstaigoje </w:t>
      </w:r>
      <w:r w:rsidR="00DD31DE" w:rsidRPr="007C5CB9">
        <w:rPr>
          <w:szCs w:val="20"/>
        </w:rPr>
        <w:t>Valstybinės maisto ir veterinarijos Klaipėdos departament</w:t>
      </w:r>
      <w:r w:rsidR="00DD31DE">
        <w:rPr>
          <w:szCs w:val="20"/>
        </w:rPr>
        <w:t xml:space="preserve">as </w:t>
      </w:r>
      <w:r w:rsidRPr="005221C1">
        <w:rPr>
          <w:bCs/>
        </w:rPr>
        <w:t xml:space="preserve">tikrino maisto saugą, kokybę ir higieną; </w:t>
      </w:r>
      <w:r w:rsidRPr="005221C1">
        <w:rPr>
          <w:rFonts w:eastAsia="Calibri"/>
          <w:color w:val="222222"/>
          <w:shd w:val="clear" w:color="auto" w:fill="FFFFFF"/>
        </w:rPr>
        <w:t>VšĮ Kaimo verslo ir rinkų plėtros agentūra,</w:t>
      </w:r>
      <w:r w:rsidRPr="005221C1">
        <w:rPr>
          <w:rFonts w:ascii="Calibri" w:eastAsia="Calibri" w:hAnsi="Calibri"/>
          <w:color w:val="222222"/>
          <w:sz w:val="22"/>
          <w:szCs w:val="22"/>
          <w:shd w:val="clear" w:color="auto" w:fill="FFFFFF"/>
        </w:rPr>
        <w:t xml:space="preserve"> </w:t>
      </w:r>
      <w:r w:rsidRPr="005221C1">
        <w:rPr>
          <w:rFonts w:eastAsia="Calibri"/>
          <w:color w:val="222222"/>
          <w:shd w:val="clear" w:color="auto" w:fill="FFFFFF"/>
        </w:rPr>
        <w:t>atlikdama </w:t>
      </w:r>
      <w:r w:rsidRPr="005221C1">
        <w:rPr>
          <w:rFonts w:eastAsia="Calibri"/>
          <w:color w:val="000000"/>
          <w:shd w:val="clear" w:color="auto" w:fill="FFFFFF"/>
        </w:rPr>
        <w:t>Lietuvos Respublikos nesąžiningos prekybos praktikos žemės ūkio ir maisto produktų tiekimo grandinėje įstatyme įtvirtintų draudžiamų nesąžiningų veiksmų priežiūrą, </w:t>
      </w:r>
      <w:r w:rsidRPr="005221C1">
        <w:rPr>
          <w:rFonts w:eastAsia="Calibri"/>
          <w:color w:val="222222"/>
          <w:shd w:val="clear" w:color="auto" w:fill="FFFFFF"/>
        </w:rPr>
        <w:t>vykdė  administracinę patikrą;</w:t>
      </w:r>
      <w:r w:rsidRPr="005221C1">
        <w:rPr>
          <w:rFonts w:ascii="Calibri" w:eastAsia="Calibri" w:hAnsi="Calibri"/>
          <w:color w:val="222222"/>
          <w:sz w:val="22"/>
          <w:szCs w:val="22"/>
          <w:shd w:val="clear" w:color="auto" w:fill="FFFFFF"/>
        </w:rPr>
        <w:t xml:space="preserve"> </w:t>
      </w:r>
      <w:r w:rsidRPr="005221C1">
        <w:rPr>
          <w:bCs/>
        </w:rPr>
        <w:t xml:space="preserve">Klaipėdos miesto savivaldybės administracijos </w:t>
      </w:r>
      <w:r w:rsidR="00446F36">
        <w:rPr>
          <w:bCs/>
        </w:rPr>
        <w:t>Š</w:t>
      </w:r>
      <w:r w:rsidRPr="005221C1">
        <w:rPr>
          <w:bCs/>
        </w:rPr>
        <w:t>vietimo skyrius atliko mokinių nelaimingų atsitikimų analizę; Kontrolės įstaiga Inspe</w:t>
      </w:r>
      <w:r w:rsidR="00E94F54">
        <w:rPr>
          <w:bCs/>
        </w:rPr>
        <w:t>c</w:t>
      </w:r>
      <w:r w:rsidRPr="005221C1">
        <w:rPr>
          <w:bCs/>
        </w:rPr>
        <w:t>tum tikrino v</w:t>
      </w:r>
      <w:r w:rsidRPr="005221C1">
        <w:rPr>
          <w:rFonts w:eastAsia="Calibri"/>
        </w:rPr>
        <w:t>aikų žaidimo aikštelių būklę.</w:t>
      </w:r>
      <w:r w:rsidRPr="005221C1">
        <w:rPr>
          <w:rFonts w:ascii="Calibri" w:eastAsia="Calibri" w:hAnsi="Calibri"/>
          <w:color w:val="222222"/>
          <w:sz w:val="22"/>
          <w:szCs w:val="22"/>
          <w:shd w:val="clear" w:color="auto" w:fill="FFFFFF"/>
        </w:rPr>
        <w:t xml:space="preserve">  </w:t>
      </w:r>
      <w:r w:rsidRPr="005221C1">
        <w:rPr>
          <w:rFonts w:eastAsia="Calibri"/>
          <w:color w:val="222222"/>
          <w:shd w:val="clear" w:color="auto" w:fill="FFFFFF"/>
        </w:rPr>
        <w:t>Pažeidimų nenustatyta.</w:t>
      </w:r>
    </w:p>
    <w:p w:rsidR="005221C1" w:rsidRPr="00446F36" w:rsidRDefault="005221C1" w:rsidP="005221C1">
      <w:pPr>
        <w:ind w:right="-22" w:firstLine="603"/>
        <w:jc w:val="both"/>
        <w:rPr>
          <w:szCs w:val="20"/>
        </w:rPr>
      </w:pPr>
      <w:r w:rsidRPr="005221C1">
        <w:rPr>
          <w:rFonts w:eastAsia="Calibri"/>
        </w:rPr>
        <w:t xml:space="preserve">Liko neišspręstos tokios vidaus ir išorės faktorių sąlygotos problemos: 1) dėl pasirengimo įtraukiajam ugdymui nepakanka švietimo pagalbos mokiniui specialistų; didėjantis SUP vaikų skaičius grupėse kelia kitų ugdytinių tėvų nepasitenkinimą; </w:t>
      </w:r>
      <w:r w:rsidRPr="005221C1">
        <w:rPr>
          <w:rFonts w:eastAsia="Symbol"/>
          <w:lang w:eastAsia="zh-CN"/>
        </w:rPr>
        <w:t>trūksta kvalifikuotų ir motyvuotų</w:t>
      </w:r>
      <w:r w:rsidRPr="005221C1">
        <w:rPr>
          <w:rFonts w:eastAsia="Symbol"/>
          <w:lang w:eastAsia="lt-LT"/>
        </w:rPr>
        <w:t xml:space="preserve"> darbuotojų; </w:t>
      </w:r>
      <w:r w:rsidRPr="005221C1">
        <w:rPr>
          <w:rFonts w:eastAsia="Calibri"/>
        </w:rPr>
        <w:t>2)</w:t>
      </w:r>
      <w:r w:rsidRPr="005221C1">
        <w:rPr>
          <w:rFonts w:ascii="Calibri" w:eastAsia="Calibri" w:hAnsi="Calibri"/>
          <w:sz w:val="22"/>
          <w:szCs w:val="22"/>
        </w:rPr>
        <w:t xml:space="preserve"> </w:t>
      </w:r>
      <w:r w:rsidRPr="005221C1">
        <w:rPr>
          <w:rFonts w:eastAsia="Symbol"/>
          <w:lang w:eastAsia="zh-CN"/>
        </w:rPr>
        <w:t>prasta pastato šilumos izoliacija, nesandarus pamatas; susidėvėjęs patalpų šildymo ir vandentiekio sistemos vamzdynas; nesaugūs užlipimo į palėpę laiptai; pašalinus chromu užterštą</w:t>
      </w:r>
      <w:r w:rsidRPr="005221C1">
        <w:t xml:space="preserve"> dirvožemį</w:t>
      </w:r>
      <w:r w:rsidR="00446F36">
        <w:t>,</w:t>
      </w:r>
      <w:r w:rsidRPr="005221C1">
        <w:t xml:space="preserve"> Įstaigos teritorijoje neįrengtos lauko erdvės</w:t>
      </w:r>
      <w:r w:rsidRPr="00446F36">
        <w:t xml:space="preserve">. </w:t>
      </w:r>
    </w:p>
    <w:p w:rsidR="004C067A" w:rsidRPr="00446F36" w:rsidRDefault="005221C1" w:rsidP="005221C1">
      <w:pPr>
        <w:ind w:right="-22" w:firstLine="603"/>
        <w:jc w:val="both"/>
        <w:rPr>
          <w:szCs w:val="20"/>
        </w:rPr>
      </w:pPr>
      <w:r w:rsidRPr="00446F36">
        <w:rPr>
          <w:rFonts w:eastAsia="Calibri"/>
        </w:rPr>
        <w:t xml:space="preserve">Planuodama 2023 metų veiklą, Įstaigos bendruomenė susitarė dėl prioriteto </w:t>
      </w:r>
      <w:r w:rsidRPr="00446F36">
        <w:t xml:space="preserve">– </w:t>
      </w:r>
      <w:r w:rsidRPr="00446F36">
        <w:rPr>
          <w:rFonts w:eastAsia="Calibri"/>
        </w:rPr>
        <w:t>veiksmingos švietimo pagalbos užtikrinimas įvairaus amžiaus ir gebėjimų vaikams</w:t>
      </w:r>
      <w:r w:rsidR="00FC52AF" w:rsidRPr="00446F36">
        <w:rPr>
          <w:rFonts w:eastAsia="Calibri"/>
        </w:rPr>
        <w:t>.</w:t>
      </w:r>
    </w:p>
    <w:p w:rsidR="005D5036" w:rsidRDefault="005D5036" w:rsidP="004C067A"/>
    <w:p w:rsidR="005221C1" w:rsidRDefault="005221C1" w:rsidP="004C067A"/>
    <w:p w:rsidR="005221C1" w:rsidRPr="00832CC9" w:rsidRDefault="005221C1" w:rsidP="005221C1">
      <w:r>
        <w:t xml:space="preserve">Direktorė </w:t>
      </w:r>
      <w:r>
        <w:tab/>
      </w:r>
      <w:r>
        <w:tab/>
      </w:r>
      <w:r>
        <w:tab/>
      </w:r>
      <w:r>
        <w:tab/>
      </w:r>
      <w:r>
        <w:tab/>
      </w:r>
      <w:r>
        <w:tab/>
        <w:t>Aušra Milvydienė</w:t>
      </w:r>
    </w:p>
    <w:p w:rsidR="004C067A" w:rsidRDefault="004C067A" w:rsidP="004C067A"/>
    <w:p w:rsidR="005B33EA" w:rsidRDefault="005B33EA" w:rsidP="005B33EA">
      <w:pPr>
        <w:jc w:val="center"/>
      </w:pPr>
      <w:r>
        <w:t>_______________________</w:t>
      </w:r>
    </w:p>
    <w:p w:rsidR="00D57F27" w:rsidRPr="00832CC9" w:rsidRDefault="00D57F27" w:rsidP="004C067A">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F117E">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F117E"/>
    <w:rsid w:val="0019615E"/>
    <w:rsid w:val="001F7AF9"/>
    <w:rsid w:val="002B357A"/>
    <w:rsid w:val="0034183E"/>
    <w:rsid w:val="00446F36"/>
    <w:rsid w:val="004476DD"/>
    <w:rsid w:val="00451ABC"/>
    <w:rsid w:val="004C067A"/>
    <w:rsid w:val="005221C1"/>
    <w:rsid w:val="00597EE8"/>
    <w:rsid w:val="005B33EA"/>
    <w:rsid w:val="005B434A"/>
    <w:rsid w:val="005C48A2"/>
    <w:rsid w:val="005D5036"/>
    <w:rsid w:val="005F495C"/>
    <w:rsid w:val="00616F5A"/>
    <w:rsid w:val="00651172"/>
    <w:rsid w:val="00677042"/>
    <w:rsid w:val="006821E8"/>
    <w:rsid w:val="0073525C"/>
    <w:rsid w:val="007B1666"/>
    <w:rsid w:val="007C5BCD"/>
    <w:rsid w:val="00832CC9"/>
    <w:rsid w:val="008354D5"/>
    <w:rsid w:val="008E6E82"/>
    <w:rsid w:val="00A339BB"/>
    <w:rsid w:val="00A72B1E"/>
    <w:rsid w:val="00AF7D08"/>
    <w:rsid w:val="00B73523"/>
    <w:rsid w:val="00B750B6"/>
    <w:rsid w:val="00C57681"/>
    <w:rsid w:val="00CA4D3B"/>
    <w:rsid w:val="00D108FE"/>
    <w:rsid w:val="00D42B72"/>
    <w:rsid w:val="00D57F27"/>
    <w:rsid w:val="00DD319C"/>
    <w:rsid w:val="00DD31DE"/>
    <w:rsid w:val="00E33871"/>
    <w:rsid w:val="00E56A73"/>
    <w:rsid w:val="00E64296"/>
    <w:rsid w:val="00E94F54"/>
    <w:rsid w:val="00F1275A"/>
    <w:rsid w:val="00F72A1E"/>
    <w:rsid w:val="00FC52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D32B3"/>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67331867">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9249</Words>
  <Characters>5273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2023-05-02T11:02:00Z</dcterms:created>
  <dcterms:modified xsi:type="dcterms:W3CDTF">2023-05-04T05:49:00Z</dcterms:modified>
</cp:coreProperties>
</file>